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jc w:val="left"/>
        <w:rPr>
          <w:rFonts w:ascii="黑体" w:hAnsi="黑体" w:eastAsia="黑体" w:cs="Tahoma"/>
          <w:bCs/>
          <w:sz w:val="32"/>
          <w:szCs w:val="32"/>
        </w:rPr>
      </w:pPr>
      <w:r>
        <w:rPr>
          <w:rFonts w:hint="eastAsia" w:ascii="黑体" w:hAnsi="黑体" w:eastAsia="黑体" w:cs="Tahoma"/>
          <w:bCs/>
          <w:sz w:val="32"/>
          <w:szCs w:val="32"/>
        </w:rPr>
        <w:t>附件2</w:t>
      </w:r>
    </w:p>
    <w:p>
      <w:pPr>
        <w:spacing w:line="560" w:lineRule="exact"/>
        <w:jc w:val="center"/>
        <w:rPr>
          <w:rFonts w:ascii="方正小标宋_GBK" w:hAnsi="Arial Black" w:eastAsia="方正小标宋_GBK" w:cs="Tahoma"/>
          <w:bCs/>
          <w:sz w:val="40"/>
          <w:szCs w:val="40"/>
        </w:rPr>
      </w:pPr>
    </w:p>
    <w:p>
      <w:pPr>
        <w:spacing w:line="560" w:lineRule="exact"/>
        <w:jc w:val="center"/>
        <w:rPr>
          <w:rFonts w:ascii="方正小标宋简体" w:eastAsia="方正小标宋简体"/>
          <w:sz w:val="40"/>
          <w:szCs w:val="40"/>
        </w:rPr>
      </w:pPr>
      <w:bookmarkStart w:id="0" w:name="_GoBack"/>
      <w:r>
        <w:rPr>
          <w:rFonts w:hint="eastAsia" w:ascii="方正小标宋简体" w:hAnsi="Arial Black" w:eastAsia="方正小标宋简体" w:cs="Tahoma"/>
          <w:bCs/>
          <w:sz w:val="40"/>
          <w:szCs w:val="40"/>
        </w:rPr>
        <w:t>关于</w:t>
      </w:r>
      <w:r>
        <w:rPr>
          <w:rFonts w:hint="eastAsia" w:ascii="方正小标宋简体" w:eastAsia="方正小标宋简体"/>
          <w:sz w:val="40"/>
          <w:szCs w:val="40"/>
        </w:rPr>
        <w:t>支持中国（上海）自由贸易试验区</w:t>
      </w:r>
    </w:p>
    <w:p>
      <w:pPr>
        <w:spacing w:line="560" w:lineRule="exact"/>
        <w:jc w:val="center"/>
        <w:rPr>
          <w:rFonts w:ascii="方正小标宋简体" w:eastAsia="方正小标宋简体"/>
          <w:sz w:val="40"/>
          <w:szCs w:val="40"/>
        </w:rPr>
      </w:pPr>
      <w:r>
        <w:rPr>
          <w:rFonts w:hint="eastAsia" w:ascii="方正小标宋简体" w:eastAsia="方正小标宋简体"/>
          <w:sz w:val="40"/>
          <w:szCs w:val="40"/>
        </w:rPr>
        <w:t>临港新片区更加便利更加开放地</w:t>
      </w:r>
    </w:p>
    <w:p>
      <w:pPr>
        <w:spacing w:line="560" w:lineRule="exact"/>
        <w:jc w:val="center"/>
        <w:rPr>
          <w:rFonts w:ascii="方正小标宋简体" w:eastAsia="方正小标宋简体"/>
          <w:sz w:val="40"/>
          <w:szCs w:val="40"/>
        </w:rPr>
      </w:pPr>
      <w:r>
        <w:rPr>
          <w:rFonts w:hint="eastAsia" w:ascii="方正小标宋简体" w:eastAsia="方正小标宋简体"/>
          <w:sz w:val="40"/>
          <w:szCs w:val="40"/>
        </w:rPr>
        <w:t>引进外国人才</w:t>
      </w:r>
      <w:r>
        <w:rPr>
          <w:rFonts w:hint="eastAsia" w:ascii="方正小标宋简体" w:hAnsi="Arial Black" w:eastAsia="方正小标宋简体" w:cs="Tahoma"/>
          <w:bCs/>
          <w:sz w:val="40"/>
          <w:szCs w:val="40"/>
        </w:rPr>
        <w:t>的通知</w:t>
      </w:r>
    </w:p>
    <w:bookmarkEnd w:id="0"/>
    <w:p>
      <w:pPr>
        <w:spacing w:line="560" w:lineRule="exact"/>
        <w:rPr>
          <w:rFonts w:ascii="仿宋_GB2312" w:hAnsi="仿宋" w:eastAsia="仿宋_GB2312"/>
          <w:color w:val="000000"/>
          <w:sz w:val="30"/>
          <w:szCs w:val="30"/>
        </w:rPr>
      </w:pPr>
    </w:p>
    <w:p>
      <w:pPr>
        <w:spacing w:line="560" w:lineRule="exact"/>
        <w:rPr>
          <w:rFonts w:ascii="方正小标宋_GBK" w:eastAsia="方正小标宋_GBK"/>
          <w:sz w:val="32"/>
          <w:szCs w:val="32"/>
        </w:rPr>
      </w:pPr>
      <w:r>
        <w:rPr>
          <w:rFonts w:hint="eastAsia" w:ascii="仿宋_GB2312" w:hAnsi="仿宋" w:eastAsia="仿宋_GB2312"/>
          <w:color w:val="000000"/>
          <w:sz w:val="32"/>
          <w:szCs w:val="32"/>
        </w:rPr>
        <w:t>中国（上海）自由贸易试验区临港新片区管理委员会：</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 xml:space="preserve">    为贯彻落实国务院印发的</w:t>
      </w:r>
      <w:r>
        <w:rPr>
          <w:rFonts w:ascii="仿宋_GB2312" w:hAnsi="仿宋" w:eastAsia="仿宋_GB2312"/>
          <w:sz w:val="32"/>
          <w:szCs w:val="32"/>
        </w:rPr>
        <w:t>《中国（上海）自由贸易试验区临港新片区总体方案》</w:t>
      </w:r>
      <w:r>
        <w:rPr>
          <w:rFonts w:hint="eastAsia" w:ascii="仿宋_GB2312" w:hAnsi="仿宋" w:eastAsia="仿宋_GB2312"/>
          <w:sz w:val="32"/>
          <w:szCs w:val="32"/>
        </w:rPr>
        <w:t>，根据《中共上海市委 上海市人民政府关于促进中国（上海）自由贸易试验区临港新片区高质量发展实施特殊支持政策的若干意见》精神，为加快本市建设具有全球影响力的科技创新中心，深化外国人才管理服务制度创新，</w:t>
      </w:r>
      <w:r>
        <w:rPr>
          <w:rFonts w:ascii="仿宋_GB2312" w:hAnsi="仿宋" w:eastAsia="仿宋_GB2312"/>
          <w:sz w:val="32"/>
          <w:szCs w:val="32"/>
        </w:rPr>
        <w:t>支持</w:t>
      </w:r>
      <w:r>
        <w:rPr>
          <w:rFonts w:hint="eastAsia" w:ascii="仿宋_GB2312" w:hAnsi="仿宋" w:eastAsia="仿宋_GB2312"/>
          <w:sz w:val="32"/>
          <w:szCs w:val="32"/>
        </w:rPr>
        <w:t>中国（上海）自由贸易试验区临港新片区</w:t>
      </w:r>
      <w:r>
        <w:rPr>
          <w:rFonts w:ascii="仿宋_GB2312" w:hAnsi="仿宋" w:eastAsia="仿宋_GB2312"/>
          <w:sz w:val="32"/>
          <w:szCs w:val="32"/>
        </w:rPr>
        <w:t>提升发展能级，完善城市功能，</w:t>
      </w:r>
      <w:r>
        <w:rPr>
          <w:rFonts w:hint="eastAsia" w:ascii="仿宋_GB2312" w:hAnsi="仿宋" w:eastAsia="仿宋_GB2312"/>
          <w:sz w:val="32"/>
          <w:szCs w:val="32"/>
        </w:rPr>
        <w:t>为区域内用人单位提供更便利、更开放的外国人才引进政策，现将我委支持你区外国人才引进的有</w:t>
      </w:r>
      <w:r>
        <w:rPr>
          <w:rFonts w:hint="eastAsia" w:ascii="仿宋_GB2312" w:hAnsi="仿宋" w:eastAsia="仿宋_GB2312" w:cs="仿宋_GB2312"/>
          <w:color w:val="000000"/>
          <w:sz w:val="32"/>
          <w:szCs w:val="32"/>
        </w:rPr>
        <w:t>关事项通知如下：</w:t>
      </w:r>
    </w:p>
    <w:p>
      <w:pPr>
        <w:pStyle w:val="13"/>
        <w:numPr>
          <w:ilvl w:val="0"/>
          <w:numId w:val="1"/>
        </w:numPr>
        <w:spacing w:line="560" w:lineRule="exact"/>
        <w:ind w:firstLineChars="0"/>
        <w:rPr>
          <w:rFonts w:ascii="黑体" w:hAnsi="黑体" w:eastAsia="黑体"/>
          <w:b/>
          <w:sz w:val="32"/>
          <w:szCs w:val="32"/>
        </w:rPr>
      </w:pPr>
      <w:r>
        <w:rPr>
          <w:rFonts w:hint="eastAsia" w:ascii="黑体" w:hAnsi="黑体" w:eastAsia="黑体"/>
          <w:b/>
          <w:sz w:val="32"/>
          <w:szCs w:val="32"/>
        </w:rPr>
        <w:t>加大力度支持引进外国科技创新人才</w:t>
      </w:r>
    </w:p>
    <w:p>
      <w:pPr>
        <w:pStyle w:val="13"/>
        <w:numPr>
          <w:ilvl w:val="0"/>
          <w:numId w:val="2"/>
        </w:numPr>
        <w:spacing w:line="560" w:lineRule="exact"/>
        <w:ind w:firstLineChars="0"/>
        <w:rPr>
          <w:rFonts w:ascii="楷体_GB2312" w:hAnsi="仿宋" w:eastAsia="楷体_GB2312"/>
          <w:b/>
          <w:sz w:val="32"/>
          <w:szCs w:val="32"/>
        </w:rPr>
      </w:pPr>
      <w:r>
        <w:rPr>
          <w:rFonts w:hint="eastAsia" w:ascii="楷体_GB2312" w:hAnsi="仿宋" w:eastAsia="楷体_GB2312"/>
          <w:b/>
          <w:sz w:val="32"/>
          <w:szCs w:val="32"/>
        </w:rPr>
        <w:t>支持引进高科技领域创新的外国人才</w:t>
      </w:r>
    </w:p>
    <w:p>
      <w:pPr>
        <w:spacing w:line="560" w:lineRule="exact"/>
        <w:ind w:firstLine="640" w:firstLineChars="200"/>
        <w:rPr>
          <w:rFonts w:ascii="仿宋_GB2312" w:hAnsi="华文仿宋" w:eastAsia="仿宋_GB2312" w:cs="华文仿宋"/>
          <w:kern w:val="0"/>
          <w:sz w:val="32"/>
          <w:szCs w:val="32"/>
        </w:rPr>
      </w:pPr>
      <w:r>
        <w:rPr>
          <w:rFonts w:hint="eastAsia" w:ascii="仿宋_GB2312" w:hAnsi="仿宋" w:eastAsia="仿宋_GB2312"/>
          <w:sz w:val="32"/>
          <w:szCs w:val="32"/>
        </w:rPr>
        <w:t>对于注册在</w:t>
      </w:r>
      <w:r>
        <w:rPr>
          <w:rFonts w:hint="eastAsia" w:ascii="仿宋_GB2312" w:hAnsi="仿宋" w:eastAsia="仿宋_GB2312"/>
          <w:color w:val="000000"/>
          <w:sz w:val="32"/>
          <w:szCs w:val="32"/>
        </w:rPr>
        <w:t>中国（上海）自由贸易试验区临港新片区</w:t>
      </w:r>
      <w:r>
        <w:rPr>
          <w:rFonts w:hint="eastAsia" w:ascii="仿宋_GB2312" w:hAnsi="仿宋" w:eastAsia="仿宋_GB2312"/>
          <w:sz w:val="32"/>
          <w:szCs w:val="32"/>
        </w:rPr>
        <w:t>（以下简称“新片区”）内的科研机构、创新平台、高新技术企业、研发中心、国有企业等聘请的</w:t>
      </w:r>
      <w:r>
        <w:rPr>
          <w:rFonts w:hint="eastAsia" w:ascii="仿宋_GB2312" w:hAnsi="华文仿宋" w:eastAsia="仿宋_GB2312" w:cs="华文仿宋"/>
          <w:kern w:val="0"/>
          <w:sz w:val="32"/>
          <w:szCs w:val="32"/>
        </w:rPr>
        <w:t>高科技领域的外国人才，可适当放宽年龄、学历和工作经历的限制，符合条件的，</w:t>
      </w:r>
      <w:r>
        <w:rPr>
          <w:rFonts w:ascii="仿宋_GB2312" w:hAnsi="华文仿宋" w:eastAsia="仿宋_GB2312" w:cs="华文仿宋"/>
          <w:kern w:val="0"/>
          <w:sz w:val="32"/>
          <w:szCs w:val="32"/>
        </w:rPr>
        <w:t>一次性给予2年</w:t>
      </w:r>
      <w:r>
        <w:rPr>
          <w:rFonts w:hint="eastAsia" w:ascii="仿宋_GB2312" w:hAnsi="华文仿宋" w:eastAsia="仿宋_GB2312" w:cs="华文仿宋"/>
          <w:kern w:val="0"/>
          <w:sz w:val="32"/>
          <w:szCs w:val="32"/>
        </w:rPr>
        <w:t>以上的</w:t>
      </w:r>
      <w:r>
        <w:rPr>
          <w:rFonts w:ascii="仿宋_GB2312" w:hAnsi="华文仿宋" w:eastAsia="仿宋_GB2312" w:cs="华文仿宋"/>
          <w:kern w:val="0"/>
          <w:sz w:val="32"/>
          <w:szCs w:val="32"/>
        </w:rPr>
        <w:t>工作许可。</w:t>
      </w:r>
    </w:p>
    <w:p>
      <w:pPr>
        <w:pStyle w:val="13"/>
        <w:numPr>
          <w:ilvl w:val="0"/>
          <w:numId w:val="2"/>
        </w:numPr>
        <w:spacing w:line="560" w:lineRule="exact"/>
        <w:ind w:firstLineChars="0"/>
        <w:rPr>
          <w:rFonts w:ascii="楷体_GB2312" w:hAnsi="仿宋" w:eastAsia="楷体_GB2312"/>
          <w:b/>
          <w:sz w:val="32"/>
          <w:szCs w:val="32"/>
        </w:rPr>
      </w:pPr>
      <w:r>
        <w:rPr>
          <w:rFonts w:hint="eastAsia" w:ascii="楷体_GB2312" w:hAnsi="仿宋" w:eastAsia="楷体_GB2312"/>
          <w:b/>
          <w:sz w:val="32"/>
          <w:szCs w:val="32"/>
        </w:rPr>
        <w:t>加大力度引进符合新片区产业发展方向的外国人才</w:t>
      </w:r>
    </w:p>
    <w:p>
      <w:pPr>
        <w:spacing w:line="560" w:lineRule="exact"/>
        <w:ind w:firstLine="640" w:firstLineChars="200"/>
        <w:rPr>
          <w:rFonts w:ascii="黑体" w:hAnsi="黑体" w:eastAsia="黑体"/>
          <w:sz w:val="32"/>
          <w:szCs w:val="32"/>
        </w:rPr>
      </w:pPr>
      <w:r>
        <w:rPr>
          <w:rFonts w:hint="eastAsia" w:ascii="仿宋_GB2312" w:hAnsi="华文仿宋" w:eastAsia="仿宋_GB2312" w:cs="华文仿宋"/>
          <w:kern w:val="0"/>
          <w:sz w:val="32"/>
          <w:szCs w:val="32"/>
        </w:rPr>
        <w:t>对于新片区内的用人单位引进的上海紧缺急需的高级技工、技师等外国技能型人才和符合新片区产业发展方向的外国人才，可适当放宽年龄、学历和工作经历的限制，符合条件的，</w:t>
      </w:r>
      <w:r>
        <w:rPr>
          <w:rFonts w:ascii="仿宋_GB2312" w:hAnsi="华文仿宋" w:eastAsia="仿宋_GB2312" w:cs="华文仿宋"/>
          <w:kern w:val="0"/>
          <w:sz w:val="32"/>
          <w:szCs w:val="32"/>
        </w:rPr>
        <w:t>一次性给予2年</w:t>
      </w:r>
      <w:r>
        <w:rPr>
          <w:rFonts w:hint="eastAsia" w:ascii="仿宋_GB2312" w:hAnsi="华文仿宋" w:eastAsia="仿宋_GB2312" w:cs="华文仿宋"/>
          <w:kern w:val="0"/>
          <w:sz w:val="32"/>
          <w:szCs w:val="32"/>
        </w:rPr>
        <w:t>以上的</w:t>
      </w:r>
      <w:r>
        <w:rPr>
          <w:rFonts w:ascii="仿宋_GB2312" w:hAnsi="华文仿宋" w:eastAsia="仿宋_GB2312" w:cs="华文仿宋"/>
          <w:kern w:val="0"/>
          <w:sz w:val="32"/>
          <w:szCs w:val="32"/>
        </w:rPr>
        <w:t>工作许可。</w:t>
      </w:r>
    </w:p>
    <w:p>
      <w:pPr>
        <w:pStyle w:val="13"/>
        <w:numPr>
          <w:ilvl w:val="0"/>
          <w:numId w:val="1"/>
        </w:numPr>
        <w:spacing w:line="560" w:lineRule="exact"/>
        <w:ind w:firstLineChars="0"/>
        <w:rPr>
          <w:rFonts w:ascii="黑体" w:hAnsi="黑体" w:eastAsia="黑体"/>
          <w:b/>
          <w:sz w:val="32"/>
          <w:szCs w:val="32"/>
        </w:rPr>
      </w:pPr>
      <w:r>
        <w:rPr>
          <w:rFonts w:hint="eastAsia" w:ascii="黑体" w:hAnsi="黑体" w:eastAsia="黑体"/>
          <w:b/>
          <w:sz w:val="32"/>
          <w:szCs w:val="32"/>
        </w:rPr>
        <w:t>支持重大项目外籍科研创新团队成员的引进</w:t>
      </w:r>
    </w:p>
    <w:p>
      <w:pPr>
        <w:spacing w:line="56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3、 给予科研创新领军人才及团队办理工作许可“绿色通道”</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针对新片区内承担国家、本市重大项目团队</w:t>
      </w:r>
      <w:r>
        <w:rPr>
          <w:rFonts w:hint="eastAsia" w:ascii="仿宋_GB2312" w:hAnsi="华文仿宋" w:eastAsia="仿宋_GB2312" w:cs="华文仿宋"/>
          <w:kern w:val="0"/>
          <w:sz w:val="32"/>
          <w:szCs w:val="32"/>
        </w:rPr>
        <w:t>科研创新领军人才团队的主要外籍成员，</w:t>
      </w:r>
      <w:r>
        <w:rPr>
          <w:rFonts w:hint="eastAsia" w:ascii="仿宋_GB2312" w:hAnsi="仿宋" w:eastAsia="仿宋_GB2312"/>
          <w:sz w:val="32"/>
          <w:szCs w:val="32"/>
        </w:rPr>
        <w:t>经新片区管委会认定，对于符合基本准入标准的项目团队内的外籍核心成员，可认定为外国高端人才并享受本市外国高端人才相关待遇；对于项目团队内的其他外籍核心成员如确有需要，经推荐及认定后，可适当放宽年龄、学历或工作经历限制，并按有关规定办理外国人来华工作许可。</w:t>
      </w:r>
    </w:p>
    <w:p>
      <w:pPr>
        <w:pStyle w:val="13"/>
        <w:numPr>
          <w:ilvl w:val="0"/>
          <w:numId w:val="1"/>
        </w:numPr>
        <w:spacing w:line="560" w:lineRule="exact"/>
        <w:ind w:firstLineChars="0"/>
        <w:rPr>
          <w:rFonts w:ascii="黑体" w:hAnsi="黑体" w:eastAsia="黑体"/>
          <w:b/>
          <w:sz w:val="32"/>
          <w:szCs w:val="32"/>
        </w:rPr>
      </w:pPr>
      <w:r>
        <w:rPr>
          <w:rFonts w:hint="eastAsia" w:ascii="黑体" w:hAnsi="黑体" w:eastAsia="黑体"/>
          <w:b/>
          <w:sz w:val="32"/>
          <w:szCs w:val="32"/>
        </w:rPr>
        <w:t>赋予新片区管委会外国人才引进管理及自主权</w:t>
      </w:r>
    </w:p>
    <w:p>
      <w:pPr>
        <w:pStyle w:val="13"/>
        <w:numPr>
          <w:ilvl w:val="0"/>
          <w:numId w:val="3"/>
        </w:numPr>
        <w:spacing w:line="560" w:lineRule="exact"/>
        <w:ind w:firstLineChars="0"/>
        <w:rPr>
          <w:rFonts w:ascii="楷体_GB2312" w:hAnsi="仿宋" w:eastAsia="楷体_GB2312"/>
          <w:b/>
          <w:sz w:val="32"/>
          <w:szCs w:val="32"/>
        </w:rPr>
      </w:pPr>
      <w:r>
        <w:rPr>
          <w:rFonts w:ascii="楷体_GB2312" w:hAnsi="仿宋" w:eastAsia="楷体_GB2312"/>
          <w:b/>
          <w:sz w:val="32"/>
          <w:szCs w:val="32"/>
        </w:rPr>
        <w:t>赋予新片区“上海科技创新职业清单”推荐权</w:t>
      </w:r>
    </w:p>
    <w:p>
      <w:pPr>
        <w:spacing w:line="560" w:lineRule="exact"/>
        <w:ind w:firstLine="640" w:firstLineChars="200"/>
        <w:rPr>
          <w:rFonts w:ascii="仿宋_GB2312" w:hAnsi="华文仿宋" w:eastAsia="仿宋_GB2312" w:cs="华文仿宋"/>
          <w:kern w:val="0"/>
          <w:sz w:val="32"/>
          <w:szCs w:val="32"/>
        </w:rPr>
      </w:pPr>
      <w:r>
        <w:rPr>
          <w:rFonts w:hint="eastAsia" w:ascii="仿宋_GB2312" w:hAnsi="华文仿宋" w:eastAsia="仿宋_GB2312" w:cs="华文仿宋"/>
          <w:kern w:val="0"/>
          <w:sz w:val="32"/>
          <w:szCs w:val="32"/>
        </w:rPr>
        <w:t>新片区管委会可根据重点产业布局，推荐区内的重点科技创新单位纳入“上海科技创新职业清单”，清单内单位聘请的具有高级管理或技术职务的人员可作为外国高端人才，享受办理工作许可的相关便利。</w:t>
      </w:r>
    </w:p>
    <w:p>
      <w:pPr>
        <w:spacing w:line="560" w:lineRule="exact"/>
        <w:ind w:firstLine="645"/>
        <w:rPr>
          <w:rFonts w:ascii="楷体_GB2312" w:hAnsi="仿宋" w:eastAsia="楷体_GB2312"/>
          <w:b/>
          <w:sz w:val="32"/>
          <w:szCs w:val="32"/>
        </w:rPr>
      </w:pPr>
      <w:r>
        <w:rPr>
          <w:rFonts w:hint="eastAsia" w:ascii="楷体_GB2312" w:hAnsi="仿宋" w:eastAsia="楷体_GB2312"/>
          <w:b/>
          <w:sz w:val="32"/>
          <w:szCs w:val="32"/>
        </w:rPr>
        <w:t>5、给予外国人工作许可和外国人才签证加分项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针对新片区内用人单位聘请的外国人才，经新片区管委会认定推荐，可作为满足外国人工作许可和外国人才签证计点积分涉及地方鼓励性加分项，给予计点积分最高10分的额外加分。</w:t>
      </w:r>
    </w:p>
    <w:p>
      <w:pPr>
        <w:spacing w:line="560" w:lineRule="exact"/>
        <w:rPr>
          <w:rFonts w:ascii="楷体_GB2312" w:hAnsi="仿宋" w:eastAsia="楷体_GB2312"/>
          <w:b/>
          <w:sz w:val="32"/>
          <w:szCs w:val="32"/>
        </w:rPr>
      </w:pPr>
      <w:r>
        <w:rPr>
          <w:rFonts w:hint="eastAsia" w:ascii="仿宋_GB2312" w:hAnsi="仿宋" w:eastAsia="仿宋_GB2312"/>
          <w:sz w:val="32"/>
          <w:szCs w:val="32"/>
        </w:rPr>
        <w:t xml:space="preserve">    </w:t>
      </w:r>
      <w:r>
        <w:rPr>
          <w:rFonts w:hint="eastAsia" w:ascii="楷体_GB2312" w:hAnsi="仿宋" w:eastAsia="楷体_GB2312"/>
          <w:b/>
          <w:sz w:val="32"/>
          <w:szCs w:val="32"/>
        </w:rPr>
        <w:t>6、建立用人单位信用记录体系</w:t>
      </w:r>
    </w:p>
    <w:p>
      <w:pPr>
        <w:spacing w:line="560" w:lineRule="exact"/>
        <w:ind w:firstLine="640" w:firstLineChars="200"/>
        <w:rPr>
          <w:rFonts w:ascii="仿宋_GB2312" w:hAnsi="仿宋" w:eastAsia="仿宋_GB2312"/>
          <w:sz w:val="32"/>
          <w:szCs w:val="32"/>
        </w:rPr>
      </w:pPr>
      <w:r>
        <w:rPr>
          <w:rFonts w:hint="eastAsia" w:ascii="仿宋_GB2312" w:hAnsi="华文仿宋" w:eastAsia="仿宋_GB2312" w:cs="华文仿宋"/>
          <w:kern w:val="0"/>
          <w:sz w:val="32"/>
          <w:szCs w:val="32"/>
        </w:rPr>
        <w:t>在新片区探索实行外国人来华工作许可差异化流程，对信用优质的用人单位，在办理外国高端人才来华工作许可时，给予无犯罪记录证明、工作资历证明和相关任职资格证明采用承诺制，学历证书免于认证，材料核验流程简化等绿色通道，信用单位应对其聘雇的外国人才进行背景调查并承担责任。</w:t>
      </w:r>
    </w:p>
    <w:p>
      <w:pPr>
        <w:pStyle w:val="13"/>
        <w:numPr>
          <w:ilvl w:val="0"/>
          <w:numId w:val="1"/>
        </w:numPr>
        <w:spacing w:line="560" w:lineRule="exact"/>
        <w:ind w:firstLineChars="0"/>
        <w:rPr>
          <w:rFonts w:ascii="黑体" w:hAnsi="黑体" w:eastAsia="黑体"/>
          <w:b/>
          <w:sz w:val="32"/>
          <w:szCs w:val="32"/>
        </w:rPr>
      </w:pPr>
      <w:r>
        <w:rPr>
          <w:rFonts w:hint="eastAsia" w:ascii="黑体" w:hAnsi="黑体" w:eastAsia="黑体"/>
          <w:b/>
          <w:sz w:val="32"/>
          <w:szCs w:val="32"/>
        </w:rPr>
        <w:t>为外国人才来新片区创新创业提供便利</w:t>
      </w:r>
    </w:p>
    <w:p>
      <w:pPr>
        <w:spacing w:line="56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7、支持创新创业外国人才办理工作许可</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针对在新片区投资或创新创业的法人、小额投资人等外国人才，在企业依法设立后，首次办理外国人来华工作许可时</w:t>
      </w:r>
      <w:r>
        <w:rPr>
          <w:rFonts w:hint="eastAsia" w:ascii="仿宋_GB2312" w:hAnsi="华文仿宋" w:eastAsia="仿宋_GB2312" w:cs="华文仿宋"/>
          <w:kern w:val="0"/>
          <w:sz w:val="32"/>
          <w:szCs w:val="32"/>
        </w:rPr>
        <w:t>可适当放宽年龄、学历和工作经历的限制，</w:t>
      </w:r>
      <w:r>
        <w:rPr>
          <w:rFonts w:hint="eastAsia" w:ascii="仿宋_GB2312" w:hAnsi="仿宋" w:eastAsia="仿宋_GB2312"/>
          <w:sz w:val="32"/>
          <w:szCs w:val="32"/>
        </w:rPr>
        <w:t>延期时可结合创办公司的经营情况、纳税情况、社保交纳等酌情给予延期。</w:t>
      </w:r>
    </w:p>
    <w:p>
      <w:pPr>
        <w:spacing w:line="560" w:lineRule="exact"/>
        <w:ind w:firstLine="643" w:firstLineChars="200"/>
        <w:rPr>
          <w:rFonts w:ascii="黑体" w:hAnsi="黑体" w:eastAsia="黑体" w:cs="华文仿宋"/>
          <w:b/>
          <w:kern w:val="0"/>
          <w:sz w:val="32"/>
          <w:szCs w:val="32"/>
        </w:rPr>
      </w:pPr>
      <w:r>
        <w:rPr>
          <w:rFonts w:hint="eastAsia" w:ascii="黑体" w:hAnsi="黑体" w:eastAsia="黑体" w:cs="华文仿宋"/>
          <w:b/>
          <w:kern w:val="0"/>
          <w:sz w:val="32"/>
          <w:szCs w:val="32"/>
        </w:rPr>
        <w:t>五、</w:t>
      </w:r>
      <w:r>
        <w:rPr>
          <w:rFonts w:hint="eastAsia" w:ascii="黑体" w:hAnsi="黑体" w:eastAsia="黑体"/>
          <w:b/>
          <w:sz w:val="32"/>
          <w:szCs w:val="32"/>
        </w:rPr>
        <w:t>为新片区用人单位及外国人才提供更多便利化服务</w:t>
      </w:r>
    </w:p>
    <w:p>
      <w:pPr>
        <w:spacing w:line="56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8、为用人单位提供引进海外智力平台</w:t>
      </w:r>
    </w:p>
    <w:p>
      <w:pPr>
        <w:spacing w:line="560" w:lineRule="exact"/>
        <w:ind w:firstLine="633" w:firstLineChars="198"/>
        <w:rPr>
          <w:rFonts w:ascii="Times New Roman" w:hAnsi="Times New Roman" w:eastAsia="仿宋_GB2312"/>
          <w:sz w:val="32"/>
          <w:szCs w:val="32"/>
        </w:rPr>
      </w:pPr>
      <w:r>
        <w:rPr>
          <w:rFonts w:hint="eastAsia" w:ascii="仿宋_GB2312" w:hAnsi="仿宋" w:eastAsia="仿宋_GB2312"/>
          <w:sz w:val="32"/>
          <w:szCs w:val="32"/>
        </w:rPr>
        <w:t>围绕新片区建设的引才引智需求，大力</w:t>
      </w:r>
      <w:r>
        <w:rPr>
          <w:rFonts w:hint="eastAsia" w:ascii="仿宋_GB2312" w:hAnsi="华文仿宋" w:eastAsia="仿宋_GB2312" w:cs="华文仿宋"/>
          <w:kern w:val="0"/>
          <w:sz w:val="32"/>
          <w:szCs w:val="32"/>
        </w:rPr>
        <w:t>支持新片区内的用人单位引进外</w:t>
      </w:r>
      <w:r>
        <w:rPr>
          <w:rFonts w:hint="eastAsia" w:ascii="仿宋_GB2312" w:hAnsi="仿宋" w:eastAsia="仿宋_GB2312"/>
          <w:sz w:val="32"/>
          <w:szCs w:val="32"/>
        </w:rPr>
        <w:t>国人才，充分利用市科委（市外专局）驻海外联络处的渠道和资源，为区域内</w:t>
      </w:r>
      <w:r>
        <w:rPr>
          <w:rFonts w:hint="eastAsia" w:ascii="仿宋_GB2312" w:hAnsi="华文仿宋" w:eastAsia="仿宋_GB2312" w:cs="华文仿宋"/>
          <w:kern w:val="0"/>
          <w:sz w:val="32"/>
          <w:szCs w:val="32"/>
        </w:rPr>
        <w:t>用人单位</w:t>
      </w:r>
      <w:r>
        <w:rPr>
          <w:rFonts w:hint="eastAsia" w:ascii="仿宋_GB2312" w:hAnsi="仿宋" w:eastAsia="仿宋_GB2312"/>
          <w:sz w:val="32"/>
          <w:szCs w:val="32"/>
        </w:rPr>
        <w:t>提供海外智力平台，拓宽海外引才渠道</w:t>
      </w:r>
      <w:r>
        <w:rPr>
          <w:rFonts w:hint="eastAsia" w:ascii="仿宋_GB2312" w:hAnsi="华文仿宋" w:eastAsia="仿宋_GB2312" w:cs="华文仿宋"/>
          <w:kern w:val="0"/>
          <w:sz w:val="32"/>
          <w:szCs w:val="32"/>
        </w:rPr>
        <w:t>，搭建用人单位</w:t>
      </w:r>
      <w:r>
        <w:rPr>
          <w:rFonts w:hint="eastAsia" w:ascii="Times New Roman" w:hAnsi="Times New Roman" w:eastAsia="仿宋_GB2312"/>
          <w:sz w:val="32"/>
          <w:szCs w:val="32"/>
        </w:rPr>
        <w:t>与外国人才沟通交流的桥梁。</w:t>
      </w:r>
    </w:p>
    <w:p>
      <w:pPr>
        <w:spacing w:line="56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9、为新片区外国高端人才办理信用卡提供便利</w:t>
      </w:r>
    </w:p>
    <w:p>
      <w:pPr>
        <w:spacing w:line="560" w:lineRule="exact"/>
        <w:ind w:firstLine="633" w:firstLineChars="198"/>
        <w:rPr>
          <w:rFonts w:ascii="仿宋_GB2312" w:hAnsi="仿宋" w:eastAsia="仿宋_GB2312"/>
          <w:sz w:val="32"/>
          <w:szCs w:val="32"/>
        </w:rPr>
      </w:pPr>
      <w:r>
        <w:rPr>
          <w:rFonts w:hint="eastAsia" w:ascii="仿宋_GB2312" w:hAnsi="仿宋" w:eastAsia="仿宋_GB2312"/>
          <w:sz w:val="32"/>
          <w:szCs w:val="32"/>
        </w:rPr>
        <w:t>为满足外国人才对信用卡的办理需求，允许新片区内用人单位聘请的外国高端人才在中国银行上海分行办理信用卡，并可享受简化办卡手续，提供理财服务等绿色通道。</w:t>
      </w:r>
    </w:p>
    <w:p>
      <w:pPr>
        <w:spacing w:line="56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10、支持新片区探索建立外国人才服务港湾</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支持新片区探索实施区域内外国人才本地融入服务，鼓励新片区开展外国人才岗前培训、法律咨询、文化交流等融入活动，积极推进新片区外国人才服务港湾的建立。</w:t>
      </w:r>
    </w:p>
    <w:p>
      <w:pPr>
        <w:spacing w:line="560" w:lineRule="exact"/>
        <w:ind w:firstLine="640" w:firstLineChars="200"/>
        <w:rPr>
          <w:rFonts w:ascii="楷体_GB2312" w:hAnsi="仿宋" w:eastAsia="楷体_GB2312"/>
          <w:b/>
          <w:sz w:val="32"/>
          <w:szCs w:val="32"/>
        </w:rPr>
      </w:pPr>
      <w:r>
        <w:rPr>
          <w:rFonts w:hint="eastAsia" w:ascii="仿宋_GB2312" w:hAnsi="仿宋" w:eastAsia="仿宋_GB2312"/>
          <w:sz w:val="32"/>
          <w:szCs w:val="32"/>
        </w:rPr>
        <w:t>请你区高度重视、加强沟通，秉着务实、严谨、高效、负责的态度，组织人员力量贯彻落实，确保政策发挥最佳效应，最大程度的利企便民，为区域内的用人单位及外国人才更好地做好服务工作。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该通知自下发之日起开始执行。特此通知。</w:t>
      </w: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ind w:firstLine="640" w:firstLineChars="200"/>
        <w:jc w:val="right"/>
        <w:rPr>
          <w:rFonts w:ascii="仿宋_GB2312" w:hAnsi="仿宋" w:eastAsia="仿宋_GB2312"/>
          <w:sz w:val="32"/>
          <w:szCs w:val="32"/>
        </w:rPr>
      </w:pPr>
      <w:r>
        <w:rPr>
          <w:rFonts w:hint="eastAsia" w:ascii="仿宋_GB2312" w:hAnsi="仿宋" w:eastAsia="仿宋_GB2312"/>
          <w:sz w:val="32"/>
          <w:szCs w:val="32"/>
        </w:rPr>
        <w:t>上海市科学技术委员会</w:t>
      </w:r>
    </w:p>
    <w:p>
      <w:pPr>
        <w:spacing w:line="560" w:lineRule="exact"/>
        <w:ind w:right="300" w:firstLine="640" w:firstLineChars="200"/>
        <w:jc w:val="right"/>
        <w:rPr>
          <w:rFonts w:ascii="仿宋_GB2312" w:hAnsi="仿宋" w:eastAsia="仿宋_GB2312"/>
          <w:sz w:val="32"/>
          <w:szCs w:val="32"/>
        </w:rPr>
      </w:pPr>
      <w:r>
        <w:rPr>
          <w:rFonts w:hint="eastAsia" w:ascii="仿宋_GB2312" w:hAnsi="仿宋" w:eastAsia="仿宋_GB2312"/>
          <w:sz w:val="32"/>
          <w:szCs w:val="32"/>
        </w:rPr>
        <w:t xml:space="preserve">      上海市外国专家局 </w:t>
      </w:r>
    </w:p>
    <w:p>
      <w:pPr>
        <w:spacing w:line="560" w:lineRule="exact"/>
        <w:ind w:right="300" w:firstLine="640" w:firstLineChars="200"/>
        <w:jc w:val="right"/>
        <w:rPr>
          <w:rFonts w:ascii="仿宋_GB2312" w:hAnsi="仿宋" w:eastAsia="仿宋_GB2312"/>
          <w:sz w:val="30"/>
          <w:szCs w:val="30"/>
        </w:rPr>
      </w:pPr>
      <w:r>
        <w:rPr>
          <w:rFonts w:hint="eastAsia" w:ascii="仿宋_GB2312" w:hAnsi="仿宋" w:eastAsia="仿宋_GB2312"/>
          <w:sz w:val="32"/>
          <w:szCs w:val="32"/>
        </w:rPr>
        <w:t xml:space="preserve">2019年8月21日 </w:t>
      </w:r>
    </w:p>
    <w:p>
      <w:pPr>
        <w:spacing w:line="560" w:lineRule="exact"/>
        <w:ind w:right="300" w:firstLine="600" w:firstLineChars="200"/>
        <w:jc w:val="right"/>
        <w:rPr>
          <w:rFonts w:ascii="仿宋_GB2312" w:hAnsi="仿宋" w:eastAsia="仿宋_GB2312"/>
          <w:sz w:val="30"/>
          <w:szCs w:val="30"/>
        </w:rPr>
      </w:pPr>
    </w:p>
    <w:p>
      <w:pPr>
        <w:spacing w:line="560" w:lineRule="exact"/>
        <w:jc w:val="right"/>
        <w:rPr>
          <w:rFonts w:ascii="Times New Roman" w:hAnsi="Times New Roman" w:eastAsia="仿宋_GB2312" w:cs="Times New Roman"/>
          <w:sz w:val="28"/>
          <w:szCs w:val="32"/>
        </w:rPr>
      </w:pP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5226239"/>
      <w:docPartObj>
        <w:docPartGallery w:val="AutoText"/>
      </w:docPartObj>
    </w:sdtPr>
    <w:sdtContent>
      <w:p>
        <w:pPr>
          <w:pStyle w:val="9"/>
          <w:jc w:val="center"/>
        </w:pPr>
        <w:r>
          <w:fldChar w:fldCharType="begin"/>
        </w:r>
        <w:r>
          <w:instrText xml:space="preserve">PAGE   \* MERGEFORMAT</w:instrText>
        </w:r>
        <w:r>
          <w:fldChar w:fldCharType="separate"/>
        </w:r>
        <w:r>
          <w:rPr>
            <w:lang w:val="zh-CN"/>
          </w:rPr>
          <w:t>3</w:t>
        </w:r>
        <w:r>
          <w:fldChar w:fldCharType="end"/>
        </w:r>
      </w:p>
    </w:sdtContent>
  </w:sdt>
  <w:p>
    <w:pPr>
      <w:pStyle w:val="9"/>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1DB6"/>
    <w:multiLevelType w:val="multilevel"/>
    <w:tmpl w:val="1D951DB6"/>
    <w:lvl w:ilvl="0" w:tentative="0">
      <w:start w:val="1"/>
      <w:numFmt w:val="japaneseCounting"/>
      <w:lvlText w:val="%1、"/>
      <w:lvlJc w:val="left"/>
      <w:pPr>
        <w:ind w:left="1430" w:hanging="720"/>
      </w:pPr>
      <w:rPr>
        <w:rFonts w:hint="default"/>
      </w:rPr>
    </w:lvl>
    <w:lvl w:ilvl="1" w:tentative="0">
      <w:start w:val="7"/>
      <w:numFmt w:val="decimal"/>
      <w:lvlText w:val="%2、"/>
      <w:lvlJc w:val="left"/>
      <w:pPr>
        <w:ind w:left="1146" w:hanging="720"/>
      </w:pPr>
      <w:rPr>
        <w:rFonts w:hint="default"/>
      </w:r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682114CB"/>
    <w:multiLevelType w:val="multilevel"/>
    <w:tmpl w:val="682114CB"/>
    <w:lvl w:ilvl="0" w:tentative="0">
      <w:start w:val="1"/>
      <w:numFmt w:val="decimal"/>
      <w:lvlText w:val="%1、"/>
      <w:lvlJc w:val="left"/>
      <w:pPr>
        <w:ind w:left="1314" w:hanging="720"/>
      </w:pPr>
      <w:rPr>
        <w:rFonts w:hint="default"/>
      </w:rPr>
    </w:lvl>
    <w:lvl w:ilvl="1" w:tentative="0">
      <w:start w:val="1"/>
      <w:numFmt w:val="lowerLetter"/>
      <w:lvlText w:val="%2)"/>
      <w:lvlJc w:val="left"/>
      <w:pPr>
        <w:ind w:left="1434" w:hanging="420"/>
      </w:pPr>
    </w:lvl>
    <w:lvl w:ilvl="2" w:tentative="0">
      <w:start w:val="1"/>
      <w:numFmt w:val="lowerRoman"/>
      <w:lvlText w:val="%3."/>
      <w:lvlJc w:val="right"/>
      <w:pPr>
        <w:ind w:left="1854" w:hanging="420"/>
      </w:pPr>
    </w:lvl>
    <w:lvl w:ilvl="3" w:tentative="0">
      <w:start w:val="1"/>
      <w:numFmt w:val="decimal"/>
      <w:lvlText w:val="%4."/>
      <w:lvlJc w:val="left"/>
      <w:pPr>
        <w:ind w:left="2274" w:hanging="420"/>
      </w:pPr>
    </w:lvl>
    <w:lvl w:ilvl="4" w:tentative="0">
      <w:start w:val="1"/>
      <w:numFmt w:val="lowerLetter"/>
      <w:lvlText w:val="%5)"/>
      <w:lvlJc w:val="left"/>
      <w:pPr>
        <w:ind w:left="2694" w:hanging="420"/>
      </w:pPr>
    </w:lvl>
    <w:lvl w:ilvl="5" w:tentative="0">
      <w:start w:val="1"/>
      <w:numFmt w:val="lowerRoman"/>
      <w:lvlText w:val="%6."/>
      <w:lvlJc w:val="right"/>
      <w:pPr>
        <w:ind w:left="3114" w:hanging="420"/>
      </w:pPr>
    </w:lvl>
    <w:lvl w:ilvl="6" w:tentative="0">
      <w:start w:val="1"/>
      <w:numFmt w:val="decimal"/>
      <w:lvlText w:val="%7."/>
      <w:lvlJc w:val="left"/>
      <w:pPr>
        <w:ind w:left="3534" w:hanging="420"/>
      </w:pPr>
    </w:lvl>
    <w:lvl w:ilvl="7" w:tentative="0">
      <w:start w:val="1"/>
      <w:numFmt w:val="lowerLetter"/>
      <w:lvlText w:val="%8)"/>
      <w:lvlJc w:val="left"/>
      <w:pPr>
        <w:ind w:left="3954" w:hanging="420"/>
      </w:pPr>
    </w:lvl>
    <w:lvl w:ilvl="8" w:tentative="0">
      <w:start w:val="1"/>
      <w:numFmt w:val="lowerRoman"/>
      <w:lvlText w:val="%9."/>
      <w:lvlJc w:val="right"/>
      <w:pPr>
        <w:ind w:left="4374" w:hanging="420"/>
      </w:pPr>
    </w:lvl>
  </w:abstractNum>
  <w:abstractNum w:abstractNumId="2">
    <w:nsid w:val="71EA7DE0"/>
    <w:multiLevelType w:val="multilevel"/>
    <w:tmpl w:val="71EA7DE0"/>
    <w:lvl w:ilvl="0" w:tentative="0">
      <w:start w:val="4"/>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C0"/>
    <w:rsid w:val="0001057A"/>
    <w:rsid w:val="00013DFB"/>
    <w:rsid w:val="00014EC7"/>
    <w:rsid w:val="00020C9B"/>
    <w:rsid w:val="00022461"/>
    <w:rsid w:val="00022B0D"/>
    <w:rsid w:val="00022EAA"/>
    <w:rsid w:val="00023FBB"/>
    <w:rsid w:val="00042BC9"/>
    <w:rsid w:val="00051017"/>
    <w:rsid w:val="000534D1"/>
    <w:rsid w:val="00054F54"/>
    <w:rsid w:val="0005530C"/>
    <w:rsid w:val="000555E1"/>
    <w:rsid w:val="00055FE1"/>
    <w:rsid w:val="00060D45"/>
    <w:rsid w:val="00062C76"/>
    <w:rsid w:val="00064D62"/>
    <w:rsid w:val="000710DE"/>
    <w:rsid w:val="0007573D"/>
    <w:rsid w:val="00076795"/>
    <w:rsid w:val="000801A0"/>
    <w:rsid w:val="00087181"/>
    <w:rsid w:val="00094D7B"/>
    <w:rsid w:val="000A483E"/>
    <w:rsid w:val="000A59E8"/>
    <w:rsid w:val="000A6AF3"/>
    <w:rsid w:val="000B05F6"/>
    <w:rsid w:val="000B0CDA"/>
    <w:rsid w:val="000B7EBD"/>
    <w:rsid w:val="000C0D6B"/>
    <w:rsid w:val="000C515C"/>
    <w:rsid w:val="000D1179"/>
    <w:rsid w:val="000D470B"/>
    <w:rsid w:val="000D59CD"/>
    <w:rsid w:val="000D6ED4"/>
    <w:rsid w:val="000E4111"/>
    <w:rsid w:val="000E775E"/>
    <w:rsid w:val="000F08D2"/>
    <w:rsid w:val="000F2538"/>
    <w:rsid w:val="00104C4E"/>
    <w:rsid w:val="00110D87"/>
    <w:rsid w:val="001125F5"/>
    <w:rsid w:val="00115232"/>
    <w:rsid w:val="001213DC"/>
    <w:rsid w:val="00123D21"/>
    <w:rsid w:val="00127534"/>
    <w:rsid w:val="00137F5A"/>
    <w:rsid w:val="001445AE"/>
    <w:rsid w:val="001519C8"/>
    <w:rsid w:val="001527FF"/>
    <w:rsid w:val="00160AF8"/>
    <w:rsid w:val="00162405"/>
    <w:rsid w:val="00171D18"/>
    <w:rsid w:val="001726A1"/>
    <w:rsid w:val="00172C23"/>
    <w:rsid w:val="00174480"/>
    <w:rsid w:val="00177494"/>
    <w:rsid w:val="00180C44"/>
    <w:rsid w:val="0018483D"/>
    <w:rsid w:val="00196432"/>
    <w:rsid w:val="001A12C3"/>
    <w:rsid w:val="001A3AC9"/>
    <w:rsid w:val="001A3C3B"/>
    <w:rsid w:val="001A5C1C"/>
    <w:rsid w:val="001B66DE"/>
    <w:rsid w:val="001D5D38"/>
    <w:rsid w:val="001E3FB1"/>
    <w:rsid w:val="001E4450"/>
    <w:rsid w:val="001F143B"/>
    <w:rsid w:val="001F1D20"/>
    <w:rsid w:val="001F4514"/>
    <w:rsid w:val="001F4B4F"/>
    <w:rsid w:val="00202491"/>
    <w:rsid w:val="00207C15"/>
    <w:rsid w:val="00222413"/>
    <w:rsid w:val="002321B9"/>
    <w:rsid w:val="002348D0"/>
    <w:rsid w:val="002353BB"/>
    <w:rsid w:val="00244910"/>
    <w:rsid w:val="00247437"/>
    <w:rsid w:val="00253091"/>
    <w:rsid w:val="00253C7C"/>
    <w:rsid w:val="00254FF8"/>
    <w:rsid w:val="00256DF3"/>
    <w:rsid w:val="00260B36"/>
    <w:rsid w:val="00262AD2"/>
    <w:rsid w:val="00262B74"/>
    <w:rsid w:val="00270CD8"/>
    <w:rsid w:val="00283813"/>
    <w:rsid w:val="00285E7E"/>
    <w:rsid w:val="00286816"/>
    <w:rsid w:val="0029715D"/>
    <w:rsid w:val="002B0EA1"/>
    <w:rsid w:val="002B75E3"/>
    <w:rsid w:val="002C0B8F"/>
    <w:rsid w:val="002D537A"/>
    <w:rsid w:val="002E6324"/>
    <w:rsid w:val="002E64A1"/>
    <w:rsid w:val="002F309B"/>
    <w:rsid w:val="002F50F4"/>
    <w:rsid w:val="002F7DAE"/>
    <w:rsid w:val="00304303"/>
    <w:rsid w:val="00307992"/>
    <w:rsid w:val="00315E01"/>
    <w:rsid w:val="00316A34"/>
    <w:rsid w:val="003173D5"/>
    <w:rsid w:val="00332726"/>
    <w:rsid w:val="00341B4B"/>
    <w:rsid w:val="00351B16"/>
    <w:rsid w:val="00352B8F"/>
    <w:rsid w:val="00355F97"/>
    <w:rsid w:val="003576B3"/>
    <w:rsid w:val="00360E4A"/>
    <w:rsid w:val="00362412"/>
    <w:rsid w:val="003631FA"/>
    <w:rsid w:val="00366697"/>
    <w:rsid w:val="00377CF5"/>
    <w:rsid w:val="00380CF2"/>
    <w:rsid w:val="003859C3"/>
    <w:rsid w:val="00396C4B"/>
    <w:rsid w:val="003A2968"/>
    <w:rsid w:val="003A5A37"/>
    <w:rsid w:val="003C011E"/>
    <w:rsid w:val="003E5A54"/>
    <w:rsid w:val="003F5083"/>
    <w:rsid w:val="004112D0"/>
    <w:rsid w:val="004113BB"/>
    <w:rsid w:val="004206F0"/>
    <w:rsid w:val="00420F83"/>
    <w:rsid w:val="004221BF"/>
    <w:rsid w:val="00430440"/>
    <w:rsid w:val="00434D2C"/>
    <w:rsid w:val="00442358"/>
    <w:rsid w:val="00442DD0"/>
    <w:rsid w:val="00444DA0"/>
    <w:rsid w:val="00445D5F"/>
    <w:rsid w:val="004523CE"/>
    <w:rsid w:val="0045433C"/>
    <w:rsid w:val="004623E7"/>
    <w:rsid w:val="00470A1D"/>
    <w:rsid w:val="00470C63"/>
    <w:rsid w:val="00472E86"/>
    <w:rsid w:val="0048078F"/>
    <w:rsid w:val="00491230"/>
    <w:rsid w:val="0049278D"/>
    <w:rsid w:val="00492CE7"/>
    <w:rsid w:val="004945A6"/>
    <w:rsid w:val="00494EA7"/>
    <w:rsid w:val="004957E9"/>
    <w:rsid w:val="0049611E"/>
    <w:rsid w:val="00496624"/>
    <w:rsid w:val="0049736D"/>
    <w:rsid w:val="004B0330"/>
    <w:rsid w:val="004C1609"/>
    <w:rsid w:val="004C4746"/>
    <w:rsid w:val="004C73A6"/>
    <w:rsid w:val="004D09BF"/>
    <w:rsid w:val="004E7EB6"/>
    <w:rsid w:val="004F2B1D"/>
    <w:rsid w:val="004F3ACB"/>
    <w:rsid w:val="005216D3"/>
    <w:rsid w:val="005233DE"/>
    <w:rsid w:val="005264DE"/>
    <w:rsid w:val="00526D16"/>
    <w:rsid w:val="005276ED"/>
    <w:rsid w:val="00541B8C"/>
    <w:rsid w:val="00544C1F"/>
    <w:rsid w:val="0054578B"/>
    <w:rsid w:val="00546EFE"/>
    <w:rsid w:val="00560B67"/>
    <w:rsid w:val="005674FD"/>
    <w:rsid w:val="005706B1"/>
    <w:rsid w:val="005714C9"/>
    <w:rsid w:val="005736BB"/>
    <w:rsid w:val="0057372C"/>
    <w:rsid w:val="00586098"/>
    <w:rsid w:val="00592816"/>
    <w:rsid w:val="00596253"/>
    <w:rsid w:val="005A0651"/>
    <w:rsid w:val="005A074B"/>
    <w:rsid w:val="005A215E"/>
    <w:rsid w:val="005A288E"/>
    <w:rsid w:val="005A40C3"/>
    <w:rsid w:val="005B4FA8"/>
    <w:rsid w:val="005C1B25"/>
    <w:rsid w:val="005C5273"/>
    <w:rsid w:val="005D044C"/>
    <w:rsid w:val="00605E35"/>
    <w:rsid w:val="00610047"/>
    <w:rsid w:val="006144D8"/>
    <w:rsid w:val="00614690"/>
    <w:rsid w:val="006213C9"/>
    <w:rsid w:val="00630C17"/>
    <w:rsid w:val="0063322C"/>
    <w:rsid w:val="00633ADE"/>
    <w:rsid w:val="006379F1"/>
    <w:rsid w:val="006422E9"/>
    <w:rsid w:val="006521EE"/>
    <w:rsid w:val="006545D3"/>
    <w:rsid w:val="006556DF"/>
    <w:rsid w:val="006556F3"/>
    <w:rsid w:val="00655D97"/>
    <w:rsid w:val="006576A8"/>
    <w:rsid w:val="00673577"/>
    <w:rsid w:val="00674191"/>
    <w:rsid w:val="0067684F"/>
    <w:rsid w:val="00683F45"/>
    <w:rsid w:val="006A7DAF"/>
    <w:rsid w:val="006B2C2D"/>
    <w:rsid w:val="006B6F9C"/>
    <w:rsid w:val="006C075E"/>
    <w:rsid w:val="006C3C88"/>
    <w:rsid w:val="006D188A"/>
    <w:rsid w:val="006D19F1"/>
    <w:rsid w:val="006D27F5"/>
    <w:rsid w:val="006D47A6"/>
    <w:rsid w:val="006E00D5"/>
    <w:rsid w:val="006E0144"/>
    <w:rsid w:val="006E3842"/>
    <w:rsid w:val="00701F76"/>
    <w:rsid w:val="00704743"/>
    <w:rsid w:val="00705F28"/>
    <w:rsid w:val="00713346"/>
    <w:rsid w:val="007234FD"/>
    <w:rsid w:val="00723A2B"/>
    <w:rsid w:val="007244C0"/>
    <w:rsid w:val="00730259"/>
    <w:rsid w:val="0073198B"/>
    <w:rsid w:val="00731AA8"/>
    <w:rsid w:val="00743588"/>
    <w:rsid w:val="00762096"/>
    <w:rsid w:val="00762B04"/>
    <w:rsid w:val="00767BB3"/>
    <w:rsid w:val="00770006"/>
    <w:rsid w:val="00772E42"/>
    <w:rsid w:val="00774783"/>
    <w:rsid w:val="00784816"/>
    <w:rsid w:val="00791A8C"/>
    <w:rsid w:val="00791BC4"/>
    <w:rsid w:val="0079207C"/>
    <w:rsid w:val="0079251C"/>
    <w:rsid w:val="007A53DA"/>
    <w:rsid w:val="007B192C"/>
    <w:rsid w:val="007B3538"/>
    <w:rsid w:val="007B3C55"/>
    <w:rsid w:val="007B60E2"/>
    <w:rsid w:val="007B7289"/>
    <w:rsid w:val="007F2111"/>
    <w:rsid w:val="007F4A1B"/>
    <w:rsid w:val="0080082F"/>
    <w:rsid w:val="00801129"/>
    <w:rsid w:val="008013C6"/>
    <w:rsid w:val="00801E3C"/>
    <w:rsid w:val="0080537A"/>
    <w:rsid w:val="00807398"/>
    <w:rsid w:val="008110C9"/>
    <w:rsid w:val="00816A8E"/>
    <w:rsid w:val="00822382"/>
    <w:rsid w:val="008262CE"/>
    <w:rsid w:val="00832A2B"/>
    <w:rsid w:val="008339B8"/>
    <w:rsid w:val="008459C1"/>
    <w:rsid w:val="00852136"/>
    <w:rsid w:val="00861361"/>
    <w:rsid w:val="00861C60"/>
    <w:rsid w:val="0086797E"/>
    <w:rsid w:val="008771D3"/>
    <w:rsid w:val="00877790"/>
    <w:rsid w:val="00880AB8"/>
    <w:rsid w:val="00882329"/>
    <w:rsid w:val="008874E4"/>
    <w:rsid w:val="00895CFB"/>
    <w:rsid w:val="008A67B0"/>
    <w:rsid w:val="008B3D03"/>
    <w:rsid w:val="008B42A4"/>
    <w:rsid w:val="008B487A"/>
    <w:rsid w:val="008B6058"/>
    <w:rsid w:val="008B7A97"/>
    <w:rsid w:val="008C1EB8"/>
    <w:rsid w:val="008C5A7B"/>
    <w:rsid w:val="008D4C77"/>
    <w:rsid w:val="008D7B36"/>
    <w:rsid w:val="008E1A6D"/>
    <w:rsid w:val="008F6EB7"/>
    <w:rsid w:val="008F7D19"/>
    <w:rsid w:val="009069C1"/>
    <w:rsid w:val="00906B96"/>
    <w:rsid w:val="009117AD"/>
    <w:rsid w:val="009153B9"/>
    <w:rsid w:val="00922BB6"/>
    <w:rsid w:val="0092622C"/>
    <w:rsid w:val="00927651"/>
    <w:rsid w:val="0093131B"/>
    <w:rsid w:val="00934DCC"/>
    <w:rsid w:val="009422D8"/>
    <w:rsid w:val="00964D77"/>
    <w:rsid w:val="00966F37"/>
    <w:rsid w:val="0097198E"/>
    <w:rsid w:val="00974B93"/>
    <w:rsid w:val="00975C25"/>
    <w:rsid w:val="009777ED"/>
    <w:rsid w:val="0098070C"/>
    <w:rsid w:val="009877FB"/>
    <w:rsid w:val="00990104"/>
    <w:rsid w:val="00991287"/>
    <w:rsid w:val="00993818"/>
    <w:rsid w:val="009A1E6F"/>
    <w:rsid w:val="009A4C7C"/>
    <w:rsid w:val="009A5A86"/>
    <w:rsid w:val="009A5E05"/>
    <w:rsid w:val="009C45FB"/>
    <w:rsid w:val="009C7564"/>
    <w:rsid w:val="009D7680"/>
    <w:rsid w:val="009E121B"/>
    <w:rsid w:val="009E2A70"/>
    <w:rsid w:val="009E2F6E"/>
    <w:rsid w:val="009E62BC"/>
    <w:rsid w:val="009F0893"/>
    <w:rsid w:val="009F0C5A"/>
    <w:rsid w:val="009F47FB"/>
    <w:rsid w:val="00A02F2D"/>
    <w:rsid w:val="00A06765"/>
    <w:rsid w:val="00A1360C"/>
    <w:rsid w:val="00A22589"/>
    <w:rsid w:val="00A2290C"/>
    <w:rsid w:val="00A22F48"/>
    <w:rsid w:val="00A27ED9"/>
    <w:rsid w:val="00A3424C"/>
    <w:rsid w:val="00A37751"/>
    <w:rsid w:val="00A47C40"/>
    <w:rsid w:val="00A50B4C"/>
    <w:rsid w:val="00A51816"/>
    <w:rsid w:val="00A548D7"/>
    <w:rsid w:val="00A56CA9"/>
    <w:rsid w:val="00A575B1"/>
    <w:rsid w:val="00A642E2"/>
    <w:rsid w:val="00A848C8"/>
    <w:rsid w:val="00A91AEF"/>
    <w:rsid w:val="00A92BD3"/>
    <w:rsid w:val="00A95F67"/>
    <w:rsid w:val="00AA0474"/>
    <w:rsid w:val="00AB365A"/>
    <w:rsid w:val="00AC25A9"/>
    <w:rsid w:val="00AC4ADC"/>
    <w:rsid w:val="00AC720D"/>
    <w:rsid w:val="00AC7E2B"/>
    <w:rsid w:val="00AD28CB"/>
    <w:rsid w:val="00AD3D7F"/>
    <w:rsid w:val="00AE03F9"/>
    <w:rsid w:val="00AE44A8"/>
    <w:rsid w:val="00AF304C"/>
    <w:rsid w:val="00AF3E23"/>
    <w:rsid w:val="00AF5588"/>
    <w:rsid w:val="00B00CEC"/>
    <w:rsid w:val="00B119EF"/>
    <w:rsid w:val="00B21025"/>
    <w:rsid w:val="00B231C3"/>
    <w:rsid w:val="00B2368E"/>
    <w:rsid w:val="00B241D8"/>
    <w:rsid w:val="00B31279"/>
    <w:rsid w:val="00B33375"/>
    <w:rsid w:val="00B47A11"/>
    <w:rsid w:val="00B5750B"/>
    <w:rsid w:val="00B60166"/>
    <w:rsid w:val="00B634EB"/>
    <w:rsid w:val="00B6674B"/>
    <w:rsid w:val="00B70C87"/>
    <w:rsid w:val="00B75BBE"/>
    <w:rsid w:val="00B7692D"/>
    <w:rsid w:val="00B80154"/>
    <w:rsid w:val="00B82137"/>
    <w:rsid w:val="00B8705D"/>
    <w:rsid w:val="00B9246B"/>
    <w:rsid w:val="00B94207"/>
    <w:rsid w:val="00B95552"/>
    <w:rsid w:val="00BA2743"/>
    <w:rsid w:val="00BA27D8"/>
    <w:rsid w:val="00BA36EA"/>
    <w:rsid w:val="00BB07D1"/>
    <w:rsid w:val="00BB73CB"/>
    <w:rsid w:val="00BC0E9A"/>
    <w:rsid w:val="00BD3CE6"/>
    <w:rsid w:val="00BE267A"/>
    <w:rsid w:val="00BE35FA"/>
    <w:rsid w:val="00BE5D58"/>
    <w:rsid w:val="00BE6C2B"/>
    <w:rsid w:val="00BF19E0"/>
    <w:rsid w:val="00BF550D"/>
    <w:rsid w:val="00C0163B"/>
    <w:rsid w:val="00C034E2"/>
    <w:rsid w:val="00C0500E"/>
    <w:rsid w:val="00C063ED"/>
    <w:rsid w:val="00C16D26"/>
    <w:rsid w:val="00C20862"/>
    <w:rsid w:val="00C21ED2"/>
    <w:rsid w:val="00C24FDF"/>
    <w:rsid w:val="00C30943"/>
    <w:rsid w:val="00C461A5"/>
    <w:rsid w:val="00C47E52"/>
    <w:rsid w:val="00C519D6"/>
    <w:rsid w:val="00C5239B"/>
    <w:rsid w:val="00C571B1"/>
    <w:rsid w:val="00C606A4"/>
    <w:rsid w:val="00C60E38"/>
    <w:rsid w:val="00C6119F"/>
    <w:rsid w:val="00C66453"/>
    <w:rsid w:val="00C66EF9"/>
    <w:rsid w:val="00C73C74"/>
    <w:rsid w:val="00C84176"/>
    <w:rsid w:val="00C853F8"/>
    <w:rsid w:val="00CA657C"/>
    <w:rsid w:val="00CB5A90"/>
    <w:rsid w:val="00CC749E"/>
    <w:rsid w:val="00CD792B"/>
    <w:rsid w:val="00CE0B56"/>
    <w:rsid w:val="00CE18F0"/>
    <w:rsid w:val="00CF0D08"/>
    <w:rsid w:val="00D047D9"/>
    <w:rsid w:val="00D20753"/>
    <w:rsid w:val="00D21F54"/>
    <w:rsid w:val="00D306B8"/>
    <w:rsid w:val="00D30755"/>
    <w:rsid w:val="00D35D13"/>
    <w:rsid w:val="00D44649"/>
    <w:rsid w:val="00D4639B"/>
    <w:rsid w:val="00D50B68"/>
    <w:rsid w:val="00D57D10"/>
    <w:rsid w:val="00D626B8"/>
    <w:rsid w:val="00D65D11"/>
    <w:rsid w:val="00D66DE4"/>
    <w:rsid w:val="00D74BBD"/>
    <w:rsid w:val="00D81E65"/>
    <w:rsid w:val="00D851F6"/>
    <w:rsid w:val="00D901F3"/>
    <w:rsid w:val="00D90D54"/>
    <w:rsid w:val="00D96D85"/>
    <w:rsid w:val="00DA0201"/>
    <w:rsid w:val="00DA0A66"/>
    <w:rsid w:val="00DA3643"/>
    <w:rsid w:val="00DA7E14"/>
    <w:rsid w:val="00DB51FA"/>
    <w:rsid w:val="00DB5213"/>
    <w:rsid w:val="00DB794C"/>
    <w:rsid w:val="00DD1F1D"/>
    <w:rsid w:val="00DE0873"/>
    <w:rsid w:val="00DE552D"/>
    <w:rsid w:val="00E03C94"/>
    <w:rsid w:val="00E068AE"/>
    <w:rsid w:val="00E15E65"/>
    <w:rsid w:val="00E16D0C"/>
    <w:rsid w:val="00E174F4"/>
    <w:rsid w:val="00E22B8C"/>
    <w:rsid w:val="00E25C1D"/>
    <w:rsid w:val="00E33CC0"/>
    <w:rsid w:val="00E356BD"/>
    <w:rsid w:val="00E41502"/>
    <w:rsid w:val="00E43B89"/>
    <w:rsid w:val="00E50FEE"/>
    <w:rsid w:val="00E53F1A"/>
    <w:rsid w:val="00E56EFF"/>
    <w:rsid w:val="00E7066B"/>
    <w:rsid w:val="00E70A28"/>
    <w:rsid w:val="00E74381"/>
    <w:rsid w:val="00E751A9"/>
    <w:rsid w:val="00E76C60"/>
    <w:rsid w:val="00E80171"/>
    <w:rsid w:val="00E8101C"/>
    <w:rsid w:val="00E817E1"/>
    <w:rsid w:val="00E852C8"/>
    <w:rsid w:val="00E8571A"/>
    <w:rsid w:val="00E9278B"/>
    <w:rsid w:val="00E9350D"/>
    <w:rsid w:val="00EA3446"/>
    <w:rsid w:val="00EB3C9D"/>
    <w:rsid w:val="00EB6CDC"/>
    <w:rsid w:val="00EB7A31"/>
    <w:rsid w:val="00EC76DA"/>
    <w:rsid w:val="00ED3528"/>
    <w:rsid w:val="00EE1763"/>
    <w:rsid w:val="00EE5328"/>
    <w:rsid w:val="00EE6984"/>
    <w:rsid w:val="00EF378F"/>
    <w:rsid w:val="00EF7C87"/>
    <w:rsid w:val="00F1208F"/>
    <w:rsid w:val="00F14EA5"/>
    <w:rsid w:val="00F237BC"/>
    <w:rsid w:val="00F239D1"/>
    <w:rsid w:val="00F241D7"/>
    <w:rsid w:val="00F2726B"/>
    <w:rsid w:val="00F30FC1"/>
    <w:rsid w:val="00F3134E"/>
    <w:rsid w:val="00F324F1"/>
    <w:rsid w:val="00F3421A"/>
    <w:rsid w:val="00F4753B"/>
    <w:rsid w:val="00F505FC"/>
    <w:rsid w:val="00F517C0"/>
    <w:rsid w:val="00F51B8C"/>
    <w:rsid w:val="00F578AD"/>
    <w:rsid w:val="00F646D0"/>
    <w:rsid w:val="00F709B9"/>
    <w:rsid w:val="00F7404E"/>
    <w:rsid w:val="00F80C9F"/>
    <w:rsid w:val="00F83CCB"/>
    <w:rsid w:val="00F86CB9"/>
    <w:rsid w:val="00FA2AA1"/>
    <w:rsid w:val="00FA3C9F"/>
    <w:rsid w:val="00FB648C"/>
    <w:rsid w:val="00FC3B05"/>
    <w:rsid w:val="00FC4D1F"/>
    <w:rsid w:val="00FC5D25"/>
    <w:rsid w:val="00FD0DF4"/>
    <w:rsid w:val="00FD5074"/>
    <w:rsid w:val="00FE641C"/>
    <w:rsid w:val="00FE6446"/>
    <w:rsid w:val="00FE68DF"/>
    <w:rsid w:val="00FF2031"/>
    <w:rsid w:val="1E2305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28"/>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24"/>
      <w:szCs w:val="32"/>
    </w:rPr>
  </w:style>
  <w:style w:type="paragraph" w:styleId="4">
    <w:name w:val="heading 3"/>
    <w:basedOn w:val="1"/>
    <w:next w:val="1"/>
    <w:link w:val="15"/>
    <w:unhideWhenUsed/>
    <w:qFormat/>
    <w:uiPriority w:val="9"/>
    <w:pPr>
      <w:keepNext/>
      <w:keepLines/>
      <w:spacing w:before="260" w:after="260" w:line="416" w:lineRule="auto"/>
      <w:outlineLvl w:val="2"/>
    </w:pPr>
    <w:rPr>
      <w:b/>
      <w:bCs/>
      <w:sz w:val="24"/>
      <w:szCs w:val="32"/>
    </w:rPr>
  </w:style>
  <w:style w:type="paragraph" w:styleId="5">
    <w:name w:val="heading 4"/>
    <w:basedOn w:val="1"/>
    <w:next w:val="1"/>
    <w:link w:val="16"/>
    <w:unhideWhenUsed/>
    <w:qFormat/>
    <w:uiPriority w:val="9"/>
    <w:pPr>
      <w:keepNext/>
      <w:keepLines/>
      <w:spacing w:before="280" w:after="290" w:line="376" w:lineRule="auto"/>
      <w:outlineLvl w:val="3"/>
    </w:pPr>
    <w:rPr>
      <w:rFonts w:asciiTheme="majorHAnsi" w:hAnsiTheme="majorHAnsi" w:eastAsiaTheme="majorEastAsia" w:cstheme="majorBidi"/>
      <w:b/>
      <w:bCs/>
      <w:sz w:val="24"/>
      <w:szCs w:val="28"/>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6">
    <w:name w:val="Date"/>
    <w:basedOn w:val="1"/>
    <w:next w:val="1"/>
    <w:link w:val="24"/>
    <w:semiHidden/>
    <w:unhideWhenUsed/>
    <w:uiPriority w:val="99"/>
    <w:pPr>
      <w:ind w:left="100" w:leftChars="2500"/>
    </w:pPr>
  </w:style>
  <w:style w:type="paragraph" w:styleId="7">
    <w:name w:val="Body Text Indent 2"/>
    <w:basedOn w:val="1"/>
    <w:link w:val="21"/>
    <w:semiHidden/>
    <w:uiPriority w:val="99"/>
    <w:pPr>
      <w:spacing w:line="560" w:lineRule="exact"/>
      <w:ind w:firstLine="600" w:firstLineChars="200"/>
    </w:pPr>
    <w:rPr>
      <w:rFonts w:ascii="仿宋_GB2312" w:hAnsi="仿宋" w:eastAsia="仿宋_GB2312" w:cs="Times New Roman"/>
      <w:color w:val="000000"/>
      <w:kern w:val="0"/>
      <w:sz w:val="30"/>
      <w:szCs w:val="28"/>
    </w:rPr>
  </w:style>
  <w:style w:type="paragraph" w:styleId="8">
    <w:name w:val="Balloon Text"/>
    <w:basedOn w:val="1"/>
    <w:link w:val="20"/>
    <w:semiHidden/>
    <w:unhideWhenUsed/>
    <w:uiPriority w:val="99"/>
    <w:rPr>
      <w:sz w:val="18"/>
      <w:szCs w:val="18"/>
    </w:rPr>
  </w:style>
  <w:style w:type="paragraph" w:styleId="9">
    <w:name w:val="footer"/>
    <w:basedOn w:val="1"/>
    <w:link w:val="19"/>
    <w:unhideWhenUsed/>
    <w:uiPriority w:val="99"/>
    <w:pPr>
      <w:tabs>
        <w:tab w:val="center" w:pos="4153"/>
        <w:tab w:val="right" w:pos="8306"/>
      </w:tabs>
      <w:snapToGrid w:val="0"/>
      <w:jc w:val="left"/>
    </w:pPr>
    <w:rPr>
      <w:sz w:val="18"/>
      <w:szCs w:val="18"/>
    </w:rPr>
  </w:style>
  <w:style w:type="paragraph" w:styleId="10">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12"/>
    <w:link w:val="3"/>
    <w:uiPriority w:val="9"/>
    <w:rPr>
      <w:rFonts w:asciiTheme="majorHAnsi" w:hAnsiTheme="majorHAnsi" w:eastAsiaTheme="majorEastAsia" w:cstheme="majorBidi"/>
      <w:b/>
      <w:bCs/>
      <w:sz w:val="24"/>
      <w:szCs w:val="32"/>
    </w:rPr>
  </w:style>
  <w:style w:type="character" w:customStyle="1" w:styleId="15">
    <w:name w:val="标题 3 Char"/>
    <w:basedOn w:val="12"/>
    <w:link w:val="4"/>
    <w:uiPriority w:val="9"/>
    <w:rPr>
      <w:b/>
      <w:bCs/>
      <w:sz w:val="24"/>
      <w:szCs w:val="32"/>
    </w:rPr>
  </w:style>
  <w:style w:type="character" w:customStyle="1" w:styleId="16">
    <w:name w:val="标题 4 Char"/>
    <w:basedOn w:val="12"/>
    <w:link w:val="5"/>
    <w:uiPriority w:val="9"/>
    <w:rPr>
      <w:rFonts w:asciiTheme="majorHAnsi" w:hAnsiTheme="majorHAnsi" w:eastAsiaTheme="majorEastAsia" w:cstheme="majorBidi"/>
      <w:b/>
      <w:bCs/>
      <w:sz w:val="24"/>
      <w:szCs w:val="28"/>
    </w:rPr>
  </w:style>
  <w:style w:type="character" w:customStyle="1" w:styleId="17">
    <w:name w:val="标题 1 Char"/>
    <w:basedOn w:val="12"/>
    <w:link w:val="2"/>
    <w:uiPriority w:val="9"/>
    <w:rPr>
      <w:b/>
      <w:bCs/>
      <w:kern w:val="44"/>
      <w:sz w:val="28"/>
      <w:szCs w:val="44"/>
    </w:rPr>
  </w:style>
  <w:style w:type="character" w:customStyle="1" w:styleId="18">
    <w:name w:val="页眉 Char"/>
    <w:basedOn w:val="12"/>
    <w:link w:val="10"/>
    <w:uiPriority w:val="99"/>
    <w:rPr>
      <w:sz w:val="18"/>
      <w:szCs w:val="18"/>
    </w:rPr>
  </w:style>
  <w:style w:type="character" w:customStyle="1" w:styleId="19">
    <w:name w:val="页脚 Char"/>
    <w:basedOn w:val="12"/>
    <w:link w:val="9"/>
    <w:uiPriority w:val="99"/>
    <w:rPr>
      <w:sz w:val="18"/>
      <w:szCs w:val="18"/>
    </w:rPr>
  </w:style>
  <w:style w:type="character" w:customStyle="1" w:styleId="20">
    <w:name w:val="批注框文本 Char"/>
    <w:basedOn w:val="12"/>
    <w:link w:val="8"/>
    <w:semiHidden/>
    <w:uiPriority w:val="99"/>
    <w:rPr>
      <w:sz w:val="18"/>
      <w:szCs w:val="18"/>
    </w:rPr>
  </w:style>
  <w:style w:type="character" w:customStyle="1" w:styleId="21">
    <w:name w:val="正文文本缩进 2 Char"/>
    <w:basedOn w:val="12"/>
    <w:link w:val="7"/>
    <w:semiHidden/>
    <w:qFormat/>
    <w:uiPriority w:val="99"/>
    <w:rPr>
      <w:rFonts w:ascii="仿宋_GB2312" w:hAnsi="仿宋" w:eastAsia="仿宋_GB2312" w:cs="Times New Roman"/>
      <w:color w:val="000000"/>
      <w:kern w:val="0"/>
      <w:sz w:val="30"/>
      <w:szCs w:val="28"/>
    </w:rPr>
  </w:style>
  <w:style w:type="paragraph" w:customStyle="1" w:styleId="22">
    <w:name w:val="列出段落1"/>
    <w:basedOn w:val="1"/>
    <w:uiPriority w:val="99"/>
    <w:pPr>
      <w:ind w:firstLine="420" w:firstLineChars="200"/>
    </w:pPr>
    <w:rPr>
      <w:rFonts w:ascii="Times New Roman" w:hAnsi="Times New Roman" w:eastAsia="宋体" w:cs="Times New Roman"/>
      <w:color w:val="000000"/>
      <w:sz w:val="24"/>
      <w:szCs w:val="24"/>
    </w:rPr>
  </w:style>
  <w:style w:type="character" w:customStyle="1" w:styleId="23">
    <w:name w:val="ask-title"/>
    <w:basedOn w:val="12"/>
    <w:uiPriority w:val="0"/>
  </w:style>
  <w:style w:type="character" w:customStyle="1" w:styleId="24">
    <w:name w:val="日期 Char"/>
    <w:basedOn w:val="12"/>
    <w:link w:val="6"/>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C5826A-8657-4320-AA7C-B9D814E5DC6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573</Words>
  <Characters>3272</Characters>
  <Lines>27</Lines>
  <Paragraphs>7</Paragraphs>
  <TotalTime>4872</TotalTime>
  <ScaleCrop>false</ScaleCrop>
  <LinksUpToDate>false</LinksUpToDate>
  <CharactersWithSpaces>3838</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2019-10-09T08:03:00Z</dcterms:created>
  <dc:creator>DELL</dc:creator>
  <cp:lastModifiedBy>丶一叶偏舟</cp:lastModifiedBy>
  <dcterms:modified xsi:type="dcterms:W3CDTF">2020-11-02T04:20:00Z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